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40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об исполнении мероприятий </w:t>
      </w:r>
      <w:r w:rsidR="00493F4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3D0E57" w:rsidRPr="00771395">
        <w:rPr>
          <w:rFonts w:ascii="Times New Roman" w:hAnsi="Times New Roman"/>
          <w:b/>
          <w:sz w:val="28"/>
          <w:szCs w:val="28"/>
        </w:rPr>
        <w:t>программы</w:t>
      </w:r>
      <w:r w:rsidR="00493F40">
        <w:rPr>
          <w:rFonts w:ascii="Times New Roman" w:hAnsi="Times New Roman"/>
          <w:b/>
          <w:sz w:val="28"/>
          <w:szCs w:val="28"/>
        </w:rPr>
        <w:t xml:space="preserve">  </w:t>
      </w:r>
    </w:p>
    <w:p w:rsidR="00493F40" w:rsidRPr="00771395" w:rsidRDefault="003D0E57" w:rsidP="00493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</w:t>
      </w:r>
      <w:r w:rsidR="00493F40">
        <w:rPr>
          <w:rFonts w:ascii="Times New Roman" w:hAnsi="Times New Roman"/>
          <w:b/>
          <w:sz w:val="28"/>
          <w:szCs w:val="28"/>
        </w:rPr>
        <w:t xml:space="preserve">в Мензелинском муниципальном районе Республики Татарстан </w:t>
      </w:r>
    </w:p>
    <w:p w:rsidR="000A7577" w:rsidRPr="00771395" w:rsidRDefault="00493F40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1211">
        <w:rPr>
          <w:rFonts w:ascii="Times New Roman" w:hAnsi="Times New Roman"/>
          <w:b/>
          <w:sz w:val="28"/>
          <w:szCs w:val="28"/>
        </w:rPr>
        <w:t>на 2015 – 2024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91473">
        <w:rPr>
          <w:rFonts w:ascii="Times New Roman" w:hAnsi="Times New Roman"/>
          <w:b/>
          <w:sz w:val="28"/>
          <w:szCs w:val="28"/>
        </w:rPr>
        <w:t xml:space="preserve">за </w:t>
      </w:r>
      <w:r w:rsidR="00415E81">
        <w:rPr>
          <w:rFonts w:ascii="Times New Roman" w:hAnsi="Times New Roman"/>
          <w:b/>
          <w:sz w:val="28"/>
          <w:szCs w:val="28"/>
        </w:rPr>
        <w:t>1 квартал 2022 года.</w:t>
      </w:r>
    </w:p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B0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Кабмин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1211" w:rsidRDefault="00415E81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 квартале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года принято 6 муниципальных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направленные на сокращение коррупционных рисков:</w:t>
            </w:r>
          </w:p>
          <w:p w:rsidR="00415E81" w:rsidRDefault="00415E81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Мензелинского муниципального района от 16.02.2022 № 2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</w:t>
            </w:r>
            <w:r w:rsidR="00AB7675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AB7675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746F8" w:rsidRDefault="004746F8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Главы г. Мензелинск Мензелинского муниципального района от 07.02.2022 № 1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г. Мензелинск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Постановление Исполнительного комитета Мензелинского муниципального района от 10.02.2022 № 46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Мензелинского муниципального района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г. Мензелинск Мензелинского муниципального района от 16.02.2022 № 13 «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 w:rsidR="00B03EDB"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г. Мензелинск Мензелинского муниципального района 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B03EDB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Исполнительного комитета Мензелинского муниципального района от 26.01.2022 № 29 </w:t>
            </w:r>
            <w:r w:rsidRPr="00B03ED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и зачисление детей в образовательные  организации, реализующие основную общеобразовательную программу дошкольного образования (детские сады)» в  Мензелинском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районе Республики Татарстан»; </w:t>
            </w: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Мензелинского муниципального района от 01.02.2022 № 32 «</w:t>
            </w:r>
            <w:r w:rsidRPr="00B03ED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образования»;</w:t>
            </w: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3EDB" w:rsidRDefault="00B03EDB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49B" w:rsidRP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7CE" w:rsidRDefault="000A7577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</w:t>
            </w:r>
            <w:r w:rsidRPr="00580297">
              <w:rPr>
                <w:rFonts w:ascii="Times New Roman" w:hAnsi="Times New Roman"/>
                <w:sz w:val="24"/>
                <w:szCs w:val="24"/>
              </w:rPr>
              <w:lastRenderedPageBreak/>
              <w:t>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47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 является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Заведующий сектором по вопросам муниципальной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F4DE7" w:rsidRPr="00AA5AB7" w:rsidRDefault="004746F8" w:rsidP="004746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1 квартале 2022 года проверки </w:t>
            </w:r>
            <w:r w:rsidRPr="001B0BD4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1B0BD4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</w:p>
          <w:p w:rsidR="004F4DE7" w:rsidRPr="00AA5AB7" w:rsidRDefault="004F4DE7" w:rsidP="006B4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2719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271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1E568F" w:rsidRDefault="00507F65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2022</w:t>
            </w:r>
            <w:r w:rsidR="00576558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на муниципальную службу поступил</w:t>
            </w:r>
            <w:r w:rsid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2 </w:t>
            </w:r>
            <w:r w:rsidR="00576558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лиц, все претендующие лица были проверены на предмет участия 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>в предпринимательской деятельности через систему «Единый государственный реестр юридических лиц» и «Единый государственный реестр индивидуальных предпринимателей . Нарушений законодательства о муниципальной службе не установлено.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C7A8D" w:rsidRPr="001E568F" w:rsidRDefault="001E568F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</w:t>
            </w:r>
            <w:r w:rsidR="00181211" w:rsidRPr="001E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 xml:space="preserve"> года проверок информации о наличии</w:t>
            </w:r>
            <w:r w:rsidR="00576558" w:rsidRPr="001E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>или возможности возникновения конфликта интересов у муниципального служащего не проводились.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Поступило 4</w:t>
            </w:r>
            <w:r w:rsidR="007C7A8D" w:rsidRPr="001E568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ведомлени1</w:t>
            </w:r>
            <w:r w:rsidR="00576558" w:rsidRPr="001E568F">
              <w:rPr>
                <w:rFonts w:ascii="Times New Roman" w:hAnsi="Times New Roman"/>
                <w:sz w:val="24"/>
                <w:szCs w:val="24"/>
              </w:rPr>
              <w:t xml:space="preserve"> о возможном возникновении личной заинтересованности которая может приве</w:t>
            </w:r>
            <w:r>
              <w:rPr>
                <w:rFonts w:ascii="Times New Roman" w:hAnsi="Times New Roman"/>
                <w:sz w:val="24"/>
                <w:szCs w:val="24"/>
              </w:rPr>
              <w:t>сти к конфликту интересов от руководителей подведомственных учреждений Исполнительного комитета Мензелинского муниципального района</w:t>
            </w:r>
            <w:r w:rsidR="007C7A8D" w:rsidRPr="001E568F">
              <w:rPr>
                <w:rFonts w:ascii="Times New Roman" w:hAnsi="Times New Roman"/>
                <w:sz w:val="24"/>
                <w:szCs w:val="24"/>
              </w:rPr>
              <w:t>. Материалы были рассмотрены на заседании комиссии по соблюдению требований к служебному поведению и урегулированию конфликта интересов. Меры дисциплинарного взыскания в отношении служащего не применялись.</w:t>
            </w: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576558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746F8">
              <w:rPr>
                <w:rFonts w:ascii="Times New Roman" w:hAnsi="Times New Roman"/>
                <w:sz w:val="24"/>
                <w:szCs w:val="24"/>
              </w:rPr>
              <w:t>В январе - феврале 2022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г. Мензелинск Мензелинского муниципального района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г. Мензелинск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Палате земельных и имущественных отношений;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Финансово-бюджетной палате </w:t>
            </w:r>
          </w:p>
          <w:p w:rsidR="00155C88" w:rsidRPr="00155C88" w:rsidRDefault="00155C8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</w:t>
            </w: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="004863B6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2022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536F9B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Имеется доступ  к программе  для проверки сведений из ЕГРЮЛ и ЕГРИП.</w:t>
            </w:r>
          </w:p>
          <w:p w:rsidR="008808A7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      С помощью базы проверяется соблюдение муниципальными служащими запретов, в части участия в </w:t>
            </w: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>органе управления коммерческой организацией и занятия предпринимательской деятельностью.</w:t>
            </w:r>
          </w:p>
          <w:p w:rsidR="00536F9B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Мензелинскому району с целью подтверждения факта наличия автотранспортного средства.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BF4633">
              <w:rPr>
                <w:rFonts w:ascii="Times New Roman" w:hAnsi="Times New Roman"/>
                <w:sz w:val="24"/>
                <w:szCs w:val="24"/>
              </w:rPr>
              <w:t>тиводействию коррупции входят 20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 xml:space="preserve"> лиц, из них 4 представители институтов гражданского общества: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4E4BA1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181211" w:rsidRDefault="00B559C0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з</w:t>
            </w:r>
            <w:r w:rsidR="006B48D7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6E64F8">
              <w:rPr>
                <w:rFonts w:ascii="Times New Roman" w:hAnsi="Times New Roman"/>
                <w:sz w:val="24"/>
                <w:szCs w:val="24"/>
              </w:rPr>
              <w:t>вию коррупции поводилось 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(24 марта 2022 г). 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Повестка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направляется сопроводительное письмо по системе электронного документооборота за 2 недели до заседания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21409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C31535" w:rsidRPr="00181211" w:rsidRDefault="00C31535" w:rsidP="006E64F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B6" w:rsidRPr="00771395" w:rsidTr="000A7577">
        <w:tc>
          <w:tcPr>
            <w:tcW w:w="648" w:type="dxa"/>
          </w:tcPr>
          <w:p w:rsidR="004863B6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48" w:type="dxa"/>
            <w:shd w:val="clear" w:color="auto" w:fill="auto"/>
          </w:tcPr>
          <w:p w:rsidR="004863B6" w:rsidRPr="00B40EA6" w:rsidRDefault="004863B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(1)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</w:t>
            </w:r>
            <w:r w:rsidR="00693703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Республике Татарстан, в управлении коммерческими и некоммерческими организациями </w:t>
            </w:r>
          </w:p>
        </w:tc>
        <w:tc>
          <w:tcPr>
            <w:tcW w:w="2268" w:type="dxa"/>
            <w:shd w:val="clear" w:color="auto" w:fill="auto"/>
          </w:tcPr>
          <w:p w:rsidR="004863B6" w:rsidRPr="00A541FF" w:rsidRDefault="0069370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ИОГИВ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63B6" w:rsidRPr="00941404" w:rsidRDefault="006323B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 лиц, замещающих муниципальные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 должности в управлении коммерческими и некоммерч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ескими организациями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проводится с ноября </w:t>
            </w:r>
            <w:r>
              <w:rPr>
                <w:rFonts w:ascii="Times New Roman" w:hAnsi="Times New Roman"/>
                <w:sz w:val="24"/>
                <w:szCs w:val="24"/>
              </w:rPr>
              <w:t>2021 года с учетом внесения изменений и дополнений в муниципальную программу «Реализация антикоррупционной политики в Мензелинском муниципальном районе на 2015-2024 годы»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. По состоянию на 20 марта 2022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года нарушений не установлено. 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0A27FE" w:rsidRPr="006B48D7" w:rsidRDefault="009849E2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A0B68">
              <w:rPr>
                <w:rFonts w:ascii="Times New Roman" w:hAnsi="Times New Roman"/>
                <w:sz w:val="24"/>
                <w:szCs w:val="24"/>
              </w:rPr>
              <w:t xml:space="preserve"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</w:t>
            </w:r>
            <w:r w:rsidRPr="000A0B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положений о предотвращении и урегулировании конфликта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интересов.</w:t>
            </w:r>
            <w:r w:rsidR="000E2C61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6E64F8">
              <w:rPr>
                <w:rFonts w:ascii="Times New Roman" w:hAnsi="Times New Roman"/>
                <w:sz w:val="24"/>
                <w:szCs w:val="24"/>
              </w:rPr>
              <w:t>ство организаций (учреждений) 77</w:t>
            </w:r>
            <w:r w:rsidR="00366B21" w:rsidRPr="00C81A64">
              <w:rPr>
                <w:rFonts w:ascii="Times New Roman" w:hAnsi="Times New Roman"/>
                <w:sz w:val="24"/>
                <w:szCs w:val="24"/>
              </w:rPr>
              <w:t>, кол</w:t>
            </w:r>
            <w:r w:rsidR="006E64F8">
              <w:rPr>
                <w:rFonts w:ascii="Times New Roman" w:hAnsi="Times New Roman"/>
                <w:sz w:val="24"/>
                <w:szCs w:val="24"/>
              </w:rPr>
              <w:t>ичество работников, 1584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.</w:t>
            </w:r>
            <w:r w:rsidR="00BF4633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703" w:rsidRPr="00771395" w:rsidTr="000A7577">
        <w:tc>
          <w:tcPr>
            <w:tcW w:w="648" w:type="dxa"/>
          </w:tcPr>
          <w:p w:rsidR="00693703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48" w:type="dxa"/>
            <w:shd w:val="clear" w:color="auto" w:fill="auto"/>
          </w:tcPr>
          <w:p w:rsidR="00693703" w:rsidRPr="00B40EA6" w:rsidRDefault="00693703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268" w:type="dxa"/>
            <w:shd w:val="clear" w:color="auto" w:fill="auto"/>
          </w:tcPr>
          <w:p w:rsidR="00693703" w:rsidRPr="003A798E" w:rsidRDefault="00693703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93703" w:rsidRPr="001E568F" w:rsidRDefault="00B540C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sz w:val="24"/>
                <w:szCs w:val="24"/>
              </w:rPr>
              <w:t>С</w:t>
            </w:r>
            <w:r w:rsidR="006323B7" w:rsidRPr="001E568F">
              <w:rPr>
                <w:rFonts w:ascii="Times New Roman" w:hAnsi="Times New Roman"/>
                <w:sz w:val="24"/>
                <w:szCs w:val="24"/>
              </w:rPr>
              <w:t xml:space="preserve"> учетом внесения изменений и дополнений в муниципальную программу «Реализация антикоррупционной политики в Мензелинском муниципальном районе на 2015-2024 годы»</w:t>
            </w:r>
            <w:r w:rsidR="007A2207" w:rsidRPr="001E568F">
              <w:rPr>
                <w:rFonts w:ascii="Times New Roman" w:hAnsi="Times New Roman"/>
                <w:sz w:val="24"/>
                <w:szCs w:val="24"/>
              </w:rPr>
              <w:t>, осуществляется контроль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подведомственными организациями</w:t>
            </w:r>
            <w:r w:rsidR="00B27174" w:rsidRPr="001E5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174" w:rsidRPr="0088496C" w:rsidRDefault="001E568F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1 апреля 2022 года поступило 4 уведомления</w:t>
            </w:r>
            <w:r w:rsidR="00B27174" w:rsidRPr="001E568F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которая может привести к конфликту интересов от руководителей подведомственных учреждений. Уведомления рассмотрены на заседании комиссии по соблюдению требований к служебному поведению и урегулированию конфликта интересов. По результатам рассмотрения уведомления меры дисциплинарного взыскания к руководителям не применялись.</w:t>
            </w:r>
            <w:r w:rsidR="00B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174" w:rsidRPr="000A0B68" w:rsidRDefault="00B27174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F8" w:rsidRPr="00771395" w:rsidTr="000A7577">
        <w:tc>
          <w:tcPr>
            <w:tcW w:w="648" w:type="dxa"/>
          </w:tcPr>
          <w:p w:rsidR="00E84FF8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8D7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ьном районе. План работы на 2022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от 30 декабря 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</w:t>
            </w:r>
            <w:r w:rsidR="006B48D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разделе «Противодействие коррупции»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. Согласно плану работы в 2022 году планируется обсудить 23 вопроса</w:t>
            </w:r>
            <w:r w:rsidR="00F30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B21" w:rsidRPr="006B48D7" w:rsidRDefault="00366B21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координации принимаемых мер по профилактике коррупции Главой Мензелинского муниципального района утвержден план работы Помощника Главы Мензелинского муниципального района по вопросам п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ротиводействия коррупции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Pr="00076745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Распоряжением Главы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№ 54-р от 14.02.2022 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г. ответственным лицом за проведение антикоррупционной экспертизы нормативно-правовых актов и их проектов назначен 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>заведующий юридическим сектором организационного отдела Совета Мензелинского муниципального района.</w:t>
            </w:r>
          </w:p>
          <w:p w:rsidR="00FD0F22" w:rsidRPr="00F473E1" w:rsidRDefault="007A2207" w:rsidP="00076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За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1 квартал 2022 года принято 32</w:t>
            </w:r>
            <w:r w:rsidR="00134198" w:rsidRPr="00076745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нормативно-правовых акта. 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>Министерством юстиции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выявлен 1 коррупциогенный фактор в нормативном правовом акте, в ходе рассмотрения заключения коррупциогенный фактор будет исключен.</w:t>
            </w:r>
            <w:r w:rsidR="00076745" w:rsidRPr="007B4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E96" w:rsidRPr="00076745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НПА. 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>Вопрос «О результатах работы в области антикоррупционной экспертизы  нормативно-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правовых актов и их проектов, п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>еречень выявленных коррупциогенных факторов Прокуратурой Мензелинского района и принятию мер по недопущению повтор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lastRenderedPageBreak/>
              <w:t>ных нарушений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 xml:space="preserve"> ежегодно рассматривается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по координации работы по противодействию коррупции в Мензелинском муниципа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льном районе.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076745" w:rsidRDefault="006D0A48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ором размещаются проекты НПА, за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 1 квартал 2022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7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9F" w:rsidRPr="00076745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076745">
              <w:rPr>
                <w:rFonts w:ascii="Times New Roman" w:hAnsi="Times New Roman"/>
                <w:sz w:val="20"/>
                <w:szCs w:val="20"/>
              </w:rPr>
              <w:t>.</w:t>
            </w:r>
            <w:r w:rsidRPr="000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32A29" w:rsidRDefault="00C32A29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состоялось заседание Общественного Совета Мензелинского района на котором был утвержден план проведения отраслевых социологических исследований.</w:t>
            </w:r>
          </w:p>
          <w:p w:rsidR="004E1383" w:rsidRPr="00374B1C" w:rsidRDefault="00D414AC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D0F21">
              <w:rPr>
                <w:rFonts w:ascii="Times New Roman" w:hAnsi="Times New Roman"/>
                <w:sz w:val="24"/>
                <w:szCs w:val="24"/>
              </w:rPr>
              <w:t xml:space="preserve"> марта 2022</w:t>
            </w:r>
            <w:r w:rsidR="00771FD8">
              <w:rPr>
                <w:rFonts w:ascii="Times New Roman" w:hAnsi="Times New Roman"/>
                <w:sz w:val="24"/>
                <w:szCs w:val="24"/>
              </w:rPr>
              <w:t xml:space="preserve"> года на заседании комиссии по координации </w:t>
            </w:r>
            <w:r w:rsidR="00771FD8">
              <w:rPr>
                <w:rFonts w:ascii="Times New Roman" w:hAnsi="Times New Roman"/>
                <w:sz w:val="24"/>
                <w:szCs w:val="24"/>
              </w:rPr>
              <w:lastRenderedPageBreak/>
              <w:t>работы по противодействию коррупции Руководитель Общественного Совета Мензелинского района утвердил план проведения отраслевых исследова</w:t>
            </w:r>
            <w:r w:rsidR="00DF3A5B">
              <w:rPr>
                <w:rFonts w:ascii="Times New Roman" w:hAnsi="Times New Roman"/>
                <w:sz w:val="24"/>
                <w:szCs w:val="24"/>
              </w:rPr>
              <w:t>ний на 2022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71FD8">
              <w:rPr>
                <w:rFonts w:ascii="Times New Roman" w:hAnsi="Times New Roman"/>
                <w:sz w:val="24"/>
                <w:szCs w:val="24"/>
              </w:rPr>
              <w:t>. В рамках данной деятельности проводятся совместные отраслевые мероприятия с представителями СМИ района и рабочей группой по независимой оценке качества предоставляемых услуг</w:t>
            </w:r>
            <w:r w:rsidR="00146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1E568F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</w:t>
            </w:r>
            <w:r w:rsidR="001A515D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но утвержденного графика на</w:t>
            </w:r>
            <w:r w:rsidR="00507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1416D4" w:rsidRPr="001A515D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курсы</w:t>
            </w:r>
            <w:r w:rsidR="00BF4633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568F"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прошли 8</w:t>
            </w:r>
            <w:r w:rsidRPr="001E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служащих.</w:t>
            </w:r>
          </w:p>
          <w:p w:rsidR="000A27FE" w:rsidRPr="00B40EA6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 w:rsidR="00907EA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8496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>
              <w:rPr>
                <w:rFonts w:ascii="Times New Roman" w:hAnsi="Times New Roman"/>
                <w:sz w:val="24"/>
                <w:szCs w:val="24"/>
              </w:rPr>
              <w:t>в структурные подразделения Исполнительного комитета Мензелинского муниципального 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имуществе и обязательствах имущественного характера и заполнение соот</w:t>
            </w:r>
            <w:r w:rsidR="00D414AC">
              <w:rPr>
                <w:rFonts w:ascii="Times New Roman" w:hAnsi="Times New Roman"/>
                <w:sz w:val="24"/>
                <w:szCs w:val="24"/>
              </w:rPr>
              <w:t>ветствующей формы справки в 2022 году (за отчетный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CE3" w:rsidRPr="000D197D" w:rsidRDefault="00FD27CC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информационном стенде в здании Совета Мензелинского муниципального района</w:t>
            </w:r>
            <w:r w:rsidR="002B6CD7">
              <w:rPr>
                <w:rFonts w:ascii="Times New Roman" w:hAnsi="Times New Roman"/>
                <w:sz w:val="24"/>
                <w:szCs w:val="24"/>
              </w:rPr>
              <w:t xml:space="preserve"> размещена инструкция для муниципальных служащих об обязанности уведомления об об</w:t>
            </w:r>
            <w:r w:rsidR="002B6CD7">
              <w:rPr>
                <w:rFonts w:ascii="Times New Roman" w:hAnsi="Times New Roman"/>
                <w:sz w:val="24"/>
                <w:szCs w:val="24"/>
              </w:rPr>
              <w:lastRenderedPageBreak/>
              <w:t>ращениях в целях в целях склонения к совершению коррупционных правонарушений</w:t>
            </w:r>
            <w:r w:rsidR="00B34B95">
              <w:rPr>
                <w:rFonts w:ascii="Times New Roman" w:hAnsi="Times New Roman"/>
                <w:sz w:val="24"/>
                <w:szCs w:val="24"/>
              </w:rPr>
              <w:t>. В подведомственных учреждениях района ежеквартально актуализ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ируются информационные стенды;</w:t>
            </w: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924ADE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B2C06" w:rsidRDefault="00E304A9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585087">
              <w:rPr>
                <w:rFonts w:ascii="Times New Roman" w:hAnsi="Times New Roman"/>
                <w:sz w:val="24"/>
                <w:szCs w:val="24"/>
              </w:rPr>
              <w:t>ошен</w:t>
            </w:r>
            <w:r w:rsidR="00D414AC">
              <w:rPr>
                <w:rFonts w:ascii="Times New Roman" w:hAnsi="Times New Roman"/>
                <w:sz w:val="24"/>
                <w:szCs w:val="24"/>
              </w:rPr>
              <w:t>ия к коррупции в 1 квартале 2022 года были проведен профилактический семинар:</w:t>
            </w:r>
          </w:p>
          <w:p w:rsidR="00D414AC" w:rsidRPr="007D4EF4" w:rsidRDefault="007D4EF4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- 1.03.2022 Помощником Главы Мензелинского муниципального района проведен семинар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Мензелинского муниципального района по основным вопросам возникающим при представлении сведений о доходах, расходах, имуществе и обязательствах имущественного характера</w:t>
            </w:r>
            <w:r w:rsidR="00E222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C78" w:rsidRPr="00B34B95" w:rsidRDefault="00D96C78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6FD7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10 -28 января 2022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своих докладах отражали вопросы по профилактики коррупции на территории поселения. </w:t>
            </w:r>
          </w:p>
          <w:p w:rsidR="00585087" w:rsidRPr="00454153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2022</w:t>
            </w:r>
            <w:r w:rsidR="00585087">
              <w:rPr>
                <w:rFonts w:ascii="Times New Roman" w:hAnsi="Times New Roman"/>
                <w:sz w:val="24"/>
                <w:szCs w:val="24"/>
              </w:rPr>
              <w:t xml:space="preserve">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r w:rsidR="00976FD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Pr="004025A3" w:rsidRDefault="00F50283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Default="005A1BE9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F7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161BC2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  <w:r w:rsidR="00E2223E">
              <w:rPr>
                <w:rFonts w:ascii="Times New Roman" w:hAnsi="Times New Roman"/>
                <w:sz w:val="24"/>
                <w:szCs w:val="24"/>
              </w:rPr>
              <w:t>проконсультированы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212C41" w:rsidRPr="001A4F0C" w:rsidTr="00161BC2">
        <w:tc>
          <w:tcPr>
            <w:tcW w:w="648" w:type="dxa"/>
          </w:tcPr>
          <w:p w:rsidR="00212C41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Pr="004E1383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>В целях формирования в обществе нетерпимого отношения к корруп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4E1383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23E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года проводились</w:t>
            </w:r>
            <w:r w:rsidR="00997DEB" w:rsidRPr="004E1383">
              <w:rPr>
                <w:rFonts w:ascii="Times New Roman" w:hAnsi="Times New Roman"/>
                <w:sz w:val="24"/>
                <w:szCs w:val="24"/>
              </w:rPr>
              <w:t xml:space="preserve"> следующие мероприятия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349C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февраля 2022 года в СДК им. Воровского состоялась информационная выставка «Скажем коррупции Нет!»;</w:t>
            </w:r>
          </w:p>
          <w:p w:rsidR="00784DA1" w:rsidRDefault="00784DA1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 февраля 2022 года в молодежном центре «Ялкын» проводился тренинг среди учащихся Мензелинского сельскохозяйственного техникума на тему: «Право и закон»;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- 17 марта 2022 года сотрудниками Мензелинской центральной библиотеки проведена акция «Мы против коррупции» раздача буклетов + опрос населения;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 марта 2022 года в Верхнеюшадинском СДК проведена акция «Коррупциягэ каршы»</w:t>
            </w:r>
            <w:r w:rsidR="00784D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693A" w:rsidRPr="0012349C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4DA1">
              <w:rPr>
                <w:rFonts w:ascii="Times New Roman" w:hAnsi="Times New Roman"/>
                <w:sz w:val="24"/>
                <w:szCs w:val="24"/>
              </w:rPr>
              <w:t>30 марта 2022 года в молодежном центре «Ялкын» состоялся круглый стол с молодежью района с участием Помощника Главы Мензелинского муниципального района и Председателя Мензелинского районного суда на тему: «Мое право, мои обязанности».</w:t>
            </w:r>
          </w:p>
          <w:p w:rsidR="0012349C" w:rsidRPr="0012349C" w:rsidRDefault="0012349C" w:rsidP="0012349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349C" w:rsidRPr="0012349C" w:rsidRDefault="0012349C" w:rsidP="001234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49C" w:rsidRDefault="0012349C" w:rsidP="0012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CA9" w:rsidRPr="004E1383" w:rsidRDefault="00BF2CA9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C5" w:rsidRDefault="006E2DC5" w:rsidP="006E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59" w:rsidRPr="001A4F0C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B7" w:rsidRPr="001A4F0C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Default="00924ADE" w:rsidP="00924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</w:t>
            </w:r>
            <w:r w:rsidR="00C81BDF">
              <w:rPr>
                <w:rFonts w:ascii="Times New Roman" w:hAnsi="Times New Roman"/>
                <w:sz w:val="24"/>
                <w:szCs w:val="24"/>
              </w:rPr>
              <w:t>льных организациях - 2015 - 2022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</w:tcPr>
          <w:p w:rsidR="003A51BF" w:rsidRPr="003A51BF" w:rsidRDefault="003A51B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Амиров, Д.К. Амирова «Антикоррупционное и правовое воспитание»,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И.В.Сафронова, И.М. Фокеева «Формирование антикоррупционной нравственно- правовой культуры, Р.Р.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Җамалетдинова, Е.М. Ибраһимова, Д.К.Әмирова “Укучыларда коррупциягә каршы культура тәрбияләү”,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миров, Д.К.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мирова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“Корруп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ц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иягә каршы һәм хокукый тәрбия”, Л.Е. Кириллова, А.Е.  </w:t>
            </w:r>
            <w:r w:rsidRPr="003A51BF">
              <w:rPr>
                <w:rFonts w:ascii="Times New Roman" w:hAnsi="Times New Roman"/>
                <w:bCs/>
                <w:noProof/>
                <w:sz w:val="24"/>
                <w:szCs w:val="24"/>
              </w:rPr>
              <w:t>Ки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риллова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9-11 классов «Роль образования в реализации антикоррупционной политики: правовые основы борьбы с коррупцией».</w:t>
            </w:r>
          </w:p>
          <w:p w:rsidR="00955CCB" w:rsidRDefault="00DF3A5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2022 года проведено 2</w:t>
            </w:r>
            <w:r w:rsidR="003A51BF" w:rsidRPr="003A51BF">
              <w:rPr>
                <w:rFonts w:ascii="Times New Roman" w:hAnsi="Times New Roman"/>
                <w:sz w:val="24"/>
                <w:szCs w:val="24"/>
              </w:rPr>
              <w:t xml:space="preserve"> внекласс</w:t>
            </w:r>
            <w:r w:rsidR="00955CCB">
              <w:rPr>
                <w:rFonts w:ascii="Times New Roman" w:hAnsi="Times New Roman"/>
                <w:sz w:val="24"/>
                <w:szCs w:val="24"/>
              </w:rPr>
              <w:t>ных мероприятия  по антикорррупционной тематике.</w:t>
            </w:r>
          </w:p>
          <w:p w:rsidR="00955CCB" w:rsidRDefault="00F473E1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 2022 года на общешкольном родительском собрании в СОШ № 1 г. Мензелинска</w:t>
            </w:r>
            <w:r w:rsidR="00E933C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прошло районное родительское собрание на котором 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Pr="003A51BF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77E" w:rsidRPr="000455B7" w:rsidRDefault="005C777E" w:rsidP="005C7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0A7577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Default="00E933CF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 1 квартал 2022</w:t>
            </w:r>
            <w:r w:rsidR="006B0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а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предостав</w:t>
            </w:r>
            <w:r w:rsidR="00753CB6">
              <w:rPr>
                <w:rFonts w:ascii="Times New Roman" w:hAnsi="Times New Roman"/>
                <w:sz w:val="24"/>
                <w:szCs w:val="24"/>
              </w:rPr>
              <w:t>ления муниципальных услуг палаты земельных и имущественных отношений Мензелинского муниципального района.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х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оде мониторинга были опрошены 7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отребителей, жалоб на нарушение сроков регламентов не поступали. </w:t>
            </w:r>
          </w:p>
          <w:p w:rsidR="00B143CF" w:rsidRPr="007358BF" w:rsidRDefault="00B143CF" w:rsidP="00C32A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осуществляется м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ониторинг работы жилищной сферы (получение субсидий на строительство жилья) посредством ежемесячного участия Помощником Главы района на заседании общественной жилищной комиссии.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>. В настоящее время Мензелинским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МФЦ обеспечен доступ для заявителей к региональному порталу услуг (посредством инфомата), а также доступ к Единому федеральному Порталу госуслуг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753CB6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  <w:p w:rsidR="00753CB6" w:rsidRPr="00753CB6" w:rsidRDefault="00753CB6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Исполнительным комитетом Мензелинского муниципального района проводится работа по переводу предоставления муниципальных услуг через Мензелинский МФЦ 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Функционируют телефоны «Доверия» Совета района 3-10-75, 3-27-80; работают телефоны «Доверия» ОМВД, Прокуратуры, отдела образования, ЦРБ. Ящики «Доверия» установлены в здании администрации района, ОМВД, Прокуратуры, ЦРБ, во всех образовательных учреждениях района и Исполнительных комитетах сельских поселений. Информация о телефонах «Доверия» 1 раз в месяц публикуется в районной газете, кроме этого  информация о телефонах и ящиках « Доверия» размещена на официальном сайте района.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период информация о Ящике доверия была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публикована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3E2E5E">
              <w:rPr>
                <w:rFonts w:ascii="Times New Roman" w:hAnsi="Times New Roman"/>
                <w:sz w:val="24"/>
                <w:szCs w:val="24"/>
              </w:rPr>
              <w:t>а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 в районной газете, и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на сайте «ИРЦ – Мензеля» на русском и татарском языках. На официальном сайте Мензелинского муниципального района в разделе «Обращения граждан» работает Интернет-приемная. 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года Помощник Главы Мензелинского муниципального района назначен ответственным лицом за работу 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923E4F">
              <w:rPr>
                <w:rFonts w:ascii="Times New Roman" w:hAnsi="Times New Roman"/>
                <w:sz w:val="24"/>
                <w:szCs w:val="24"/>
              </w:rPr>
              <w:t>публики Татарстан на 2015 – 202</w:t>
            </w:r>
            <w:r w:rsidR="006E2DC5">
              <w:rPr>
                <w:rFonts w:ascii="Times New Roman" w:hAnsi="Times New Roman"/>
                <w:sz w:val="24"/>
                <w:szCs w:val="24"/>
              </w:rPr>
              <w:t>4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744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СМИ опубликовано  </w:t>
            </w:r>
            <w:r w:rsidR="00C32A29">
              <w:rPr>
                <w:rFonts w:ascii="Times New Roman" w:hAnsi="Times New Roman"/>
                <w:color w:val="000000"/>
                <w:sz w:val="24"/>
                <w:szCs w:val="24"/>
              </w:rPr>
              <w:t>3 материала</w:t>
            </w:r>
            <w:r w:rsidR="00EA65DC" w:rsidRPr="00C5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>ии коррупции» на русском и татарских языках.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E933CF" w:rsidRDefault="00E933CF" w:rsidP="001F1C5D">
            <w:pPr>
              <w:widowControl w:val="0"/>
              <w:spacing w:after="0" w:line="240" w:lineRule="auto"/>
            </w:pPr>
          </w:p>
          <w:p w:rsidR="00C32A29" w:rsidRDefault="0064458F" w:rsidP="00C32A29">
            <w:hyperlink r:id="rId8" w:history="1">
              <w:r w:rsidR="00C32A29" w:rsidRPr="00CC6978">
                <w:rPr>
                  <w:rStyle w:val="afb"/>
                </w:rPr>
                <w:t>http://menzela.ru/news/novosti/deklaratsionnaya-kampaniya-gosudarstvennykh-sluzhashchikh-instrument-protivodeystviya-korruptsii</w:t>
              </w:r>
            </w:hyperlink>
          </w:p>
          <w:p w:rsidR="00C32A29" w:rsidRDefault="0064458F" w:rsidP="00C32A29">
            <w:hyperlink r:id="rId9" w:history="1">
              <w:r w:rsidR="00C32A29" w:rsidRPr="00CC6978">
                <w:rPr>
                  <w:rStyle w:val="afb"/>
                </w:rPr>
                <w:t>http://menzela.ru/news/tema-dnya/v-menzelinske-proshlo-zasedanie-antikorruptsionnoy-komissii</w:t>
              </w:r>
            </w:hyperlink>
          </w:p>
          <w:p w:rsidR="00C32A29" w:rsidRPr="006E2DC5" w:rsidRDefault="00C32A29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A76" w:rsidRPr="003E2A76" w:rsidRDefault="003E2A76" w:rsidP="003E2A76">
            <w:pPr>
              <w:rPr>
                <w:sz w:val="20"/>
                <w:szCs w:val="20"/>
              </w:rPr>
            </w:pPr>
          </w:p>
          <w:p w:rsidR="003E2A76" w:rsidRPr="003E2A76" w:rsidRDefault="003E2A76" w:rsidP="003E2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2A76" w:rsidRDefault="003E2A76" w:rsidP="00E5473F">
            <w:pPr>
              <w:spacing w:line="360" w:lineRule="auto"/>
              <w:contextualSpacing/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6B0859" w:rsidRPr="00B40EA6" w:rsidRDefault="006B0859" w:rsidP="00E5473F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Совета и И</w:t>
            </w:r>
            <w:r w:rsidR="003E2E5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C347D5">
              <w:rPr>
                <w:rFonts w:ascii="Times New Roman" w:hAnsi="Times New Roman"/>
                <w:sz w:val="24"/>
                <w:szCs w:val="24"/>
              </w:rPr>
              <w:t>ный в январе 2022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>. 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В  здании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0A27FE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zakupki.gov.ru , а также </w:t>
            </w:r>
            <w:r w:rsidRPr="0022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C32A29" w:rsidRDefault="00C32A29" w:rsidP="00C32A2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1 квартал 2022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в Единой Информац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 извещений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 осуществлении закупок путем определения поставщика (подрядчика, исполнителя) через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процедуру электронных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торгов,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общим объемом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16 048 тыс. руб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70F0">
              <w:rPr>
                <w:color w:val="000000"/>
              </w:rPr>
              <w:t xml:space="preserve">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чено 15 контракта на сумму 13 667 тыс. руб.</w:t>
            </w:r>
          </w:p>
          <w:p w:rsidR="00C32A29" w:rsidRPr="005870F0" w:rsidRDefault="00C32A29" w:rsidP="00C32A2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экономии по итогам отчетного периода составил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418 тыс.  руб. </w:t>
            </w:r>
          </w:p>
          <w:p w:rsidR="00C32A29" w:rsidRPr="005870F0" w:rsidRDefault="00C32A29" w:rsidP="00C32A2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у единственного поставщика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субъект естественных монополий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28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контрактов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13 893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7FE" w:rsidRPr="00D80D63" w:rsidRDefault="000A27FE" w:rsidP="00C32A2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407A" w:rsidRPr="0048407A" w:rsidRDefault="0048407A" w:rsidP="0048407A">
            <w:pPr>
              <w:spacing w:after="0"/>
              <w:jc w:val="both"/>
              <w:rPr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Мензелинском муниципальном районе соблюдается  очередность поступления детей в дошкольные учреждения в соответствии с системой АИС «Электронный детский сад» в соответствии с электронной очередью.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>Всего в электронной очереди</w:t>
            </w:r>
            <w:r w:rsidR="00C347D5">
              <w:rPr>
                <w:rStyle w:val="210"/>
                <w:rFonts w:eastAsiaTheme="minorHAnsi"/>
                <w:sz w:val="24"/>
                <w:szCs w:val="24"/>
              </w:rPr>
              <w:t xml:space="preserve"> на 25.03.2022. состоят 239 детей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 в возрасте  от 0 до 7 лет. 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>Необоснованных перемещений в очередности  исключены, ежемесячно  мониторинг процесса комплектования дошкольных образовательных учреждений ведется специалистом МКУ «Отдел образования»  Мензелинского муниципального района РТ.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Сведений и фактов нарушений в ходе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lastRenderedPageBreak/>
              <w:t xml:space="preserve">проведения мониторинга процесса комплектования ДОУ не выявлено. </w:t>
            </w:r>
          </w:p>
          <w:p w:rsidR="0048407A" w:rsidRPr="0048407A" w:rsidRDefault="0048407A" w:rsidP="00484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   За период</w:t>
            </w:r>
            <w:r w:rsidR="00C347D5">
              <w:rPr>
                <w:rFonts w:ascii="Times New Roman" w:hAnsi="Times New Roman"/>
                <w:sz w:val="24"/>
                <w:szCs w:val="24"/>
              </w:rPr>
              <w:t xml:space="preserve"> с 01.01.2022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МКУ «Отдел образования» обращений граждан о проявлениях коррупции  в рамках соблюдения очередности в дошкольных образовательных  учреждениях  не имеется.</w:t>
            </w:r>
          </w:p>
          <w:p w:rsidR="00903B39" w:rsidRPr="00EA65DC" w:rsidRDefault="00903B39" w:rsidP="00484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D5" w:rsidRDefault="00C347D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приняты нормативные документы регулирующие работу по обращению граждан связанных с вопросами коррупции полученные через ящик доверия.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ГАУЗ «Мензелинская ЦРБ» на постоянной основе проводится мониторинг информации о коррупционных проявлениях в сфере здравоохра</w:t>
            </w:r>
            <w:r w:rsidR="0012349C">
              <w:rPr>
                <w:rFonts w:ascii="Times New Roman" w:hAnsi="Times New Roman"/>
                <w:sz w:val="24"/>
                <w:szCs w:val="24"/>
              </w:rPr>
              <w:t>нения. По и</w:t>
            </w:r>
            <w:r w:rsidR="00C347D5">
              <w:rPr>
                <w:rFonts w:ascii="Times New Roman" w:hAnsi="Times New Roman"/>
                <w:sz w:val="24"/>
                <w:szCs w:val="24"/>
              </w:rPr>
              <w:t>тогам 1 квартала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C81BDF" w:rsidRPr="00771395" w:rsidTr="000A7577">
        <w:tc>
          <w:tcPr>
            <w:tcW w:w="648" w:type="dxa"/>
          </w:tcPr>
          <w:p w:rsidR="00C81BDF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48" w:type="dxa"/>
            <w:shd w:val="clear" w:color="auto" w:fill="auto"/>
          </w:tcPr>
          <w:p w:rsidR="00C81BDF" w:rsidRPr="00B40EA6" w:rsidRDefault="00C81BDF" w:rsidP="00C81B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81BDF" w:rsidRPr="00903B39" w:rsidRDefault="00C81BDF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C81BD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81BDF" w:rsidRPr="003A51BF" w:rsidRDefault="00C81A64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105F23">
              <w:rPr>
                <w:rFonts w:ascii="Times New Roman" w:hAnsi="Times New Roman"/>
                <w:sz w:val="24"/>
                <w:szCs w:val="24"/>
              </w:rPr>
              <w:t xml:space="preserve"> граждан о проявлениях коррупции в социально-экономических отраслях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C347D5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2022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 w:rsidR="001408E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инского района было 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проведено 1 заседание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 w:rsid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Контроль в данной области осуществляе</w:t>
            </w:r>
            <w:r w:rsidR="009A36BE">
              <w:rPr>
                <w:rFonts w:ascii="Times New Roman" w:hAnsi="Times New Roman"/>
                <w:sz w:val="24"/>
                <w:szCs w:val="24"/>
              </w:rPr>
              <w:t>т начальник отдела кадров Исполнительного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</w:t>
            </w:r>
            <w:r w:rsidR="0086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08EF" w:rsidRDefault="001408EF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осуществляется контроль за обеспечением выполнения законодательства «О противодействии коррупции» муниципальными служащими и руководителями подведомственных учреждений Исполнительного комитета Мензелинского муниципального района. В рамках исполнения вышеуказанного закона приняты муниципальные нормативно-правовые акты</w:t>
            </w:r>
            <w:r w:rsidR="00647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F85" w:rsidRPr="003F1103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от 16 августа 2018 года № 6 «О порядке сообщения 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Решение Совета Мензелинского муниципального района от 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647229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Мензелинского муниципального района от 1.06.2021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РТ, и руководителем муниципального бюджетного учреждения Мензелинского муниципального района РТ сведений о доходах, расходах, об имуществе и обязательствах имущественного характера»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 к служебному поведению и урегулированию конфликта интересов.</w:t>
            </w:r>
          </w:p>
          <w:p w:rsidR="00564D41" w:rsidRPr="003F1103" w:rsidRDefault="00564D41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Совместно с отделом экономики и контрольно-счетной палатой проводится анализ конкурсных процедур на предмет выявления фактов аффилированности.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Кабмин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lastRenderedPageBreak/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0"/>
      <w:headerReference w:type="default" r:id="rId11"/>
      <w:footerReference w:type="even" r:id="rId12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8F" w:rsidRDefault="0064458F" w:rsidP="00B503EF">
      <w:pPr>
        <w:spacing w:after="0" w:line="240" w:lineRule="auto"/>
      </w:pPr>
      <w:r>
        <w:separator/>
      </w:r>
    </w:p>
  </w:endnote>
  <w:endnote w:type="continuationSeparator" w:id="0">
    <w:p w:rsidR="0064458F" w:rsidRDefault="0064458F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F8" w:rsidRDefault="006E64F8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E64F8" w:rsidRDefault="006E64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8F" w:rsidRDefault="0064458F" w:rsidP="00B503EF">
      <w:pPr>
        <w:spacing w:after="0" w:line="240" w:lineRule="auto"/>
      </w:pPr>
      <w:r>
        <w:separator/>
      </w:r>
    </w:p>
  </w:footnote>
  <w:footnote w:type="continuationSeparator" w:id="0">
    <w:p w:rsidR="0064458F" w:rsidRDefault="0064458F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F8" w:rsidRDefault="006E64F8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E64F8" w:rsidRDefault="006E64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F8" w:rsidRPr="00990A5D" w:rsidRDefault="006E64F8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493F40">
      <w:rPr>
        <w:rStyle w:val="afe"/>
        <w:rFonts w:ascii="Times New Roman" w:hAnsi="Times New Roman"/>
        <w:noProof/>
        <w:sz w:val="24"/>
        <w:szCs w:val="24"/>
      </w:rPr>
      <w:t>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6E64F8" w:rsidRDefault="006E64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5"/>
  </w:num>
  <w:num w:numId="5">
    <w:abstractNumId w:val="21"/>
  </w:num>
  <w:num w:numId="6">
    <w:abstractNumId w:val="19"/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6745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4DF"/>
    <w:rsid w:val="0009464A"/>
    <w:rsid w:val="0009468E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7365"/>
    <w:rsid w:val="000C7435"/>
    <w:rsid w:val="000D0799"/>
    <w:rsid w:val="000D197D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4026"/>
    <w:rsid w:val="000F409E"/>
    <w:rsid w:val="000F5551"/>
    <w:rsid w:val="000F5B1D"/>
    <w:rsid w:val="000F6187"/>
    <w:rsid w:val="000F7322"/>
    <w:rsid w:val="000F77CD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5F23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49C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198"/>
    <w:rsid w:val="001347C8"/>
    <w:rsid w:val="00134CE3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8EF"/>
    <w:rsid w:val="00140BFB"/>
    <w:rsid w:val="0014107B"/>
    <w:rsid w:val="001416D4"/>
    <w:rsid w:val="00144683"/>
    <w:rsid w:val="00144739"/>
    <w:rsid w:val="001459D2"/>
    <w:rsid w:val="00146240"/>
    <w:rsid w:val="0014655A"/>
    <w:rsid w:val="00146922"/>
    <w:rsid w:val="001504FA"/>
    <w:rsid w:val="0015211C"/>
    <w:rsid w:val="00152FC4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1BC2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1211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1473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4F0C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362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2B0"/>
    <w:rsid w:val="001D1235"/>
    <w:rsid w:val="001D28DB"/>
    <w:rsid w:val="001D33EA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68F"/>
    <w:rsid w:val="001E592A"/>
    <w:rsid w:val="001E6BF2"/>
    <w:rsid w:val="001E6FB0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06E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4E2F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3EC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B21"/>
    <w:rsid w:val="0036727E"/>
    <w:rsid w:val="00367DAE"/>
    <w:rsid w:val="00370285"/>
    <w:rsid w:val="00372078"/>
    <w:rsid w:val="003720F6"/>
    <w:rsid w:val="00373D2F"/>
    <w:rsid w:val="00374328"/>
    <w:rsid w:val="003746F2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1BF"/>
    <w:rsid w:val="003A6E71"/>
    <w:rsid w:val="003A760F"/>
    <w:rsid w:val="003A798E"/>
    <w:rsid w:val="003A7B89"/>
    <w:rsid w:val="003A7C32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7EB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2A76"/>
    <w:rsid w:val="003E2E5E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4500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5E81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5EDB"/>
    <w:rsid w:val="0045649A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992"/>
    <w:rsid w:val="004746F8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407A"/>
    <w:rsid w:val="004863B6"/>
    <w:rsid w:val="00486797"/>
    <w:rsid w:val="004867C5"/>
    <w:rsid w:val="004906BB"/>
    <w:rsid w:val="004926F6"/>
    <w:rsid w:val="00492C24"/>
    <w:rsid w:val="0049332A"/>
    <w:rsid w:val="00493F40"/>
    <w:rsid w:val="004951F1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92C"/>
    <w:rsid w:val="004A6AE2"/>
    <w:rsid w:val="004A71C7"/>
    <w:rsid w:val="004B1621"/>
    <w:rsid w:val="004B33E2"/>
    <w:rsid w:val="004B363C"/>
    <w:rsid w:val="004B4AED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364D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383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07F65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558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6BA"/>
    <w:rsid w:val="00584742"/>
    <w:rsid w:val="00584EA3"/>
    <w:rsid w:val="00585087"/>
    <w:rsid w:val="00585A45"/>
    <w:rsid w:val="005861A8"/>
    <w:rsid w:val="00586D2E"/>
    <w:rsid w:val="00590A33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2C06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0F21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23B7"/>
    <w:rsid w:val="00633693"/>
    <w:rsid w:val="0063519E"/>
    <w:rsid w:val="0063584A"/>
    <w:rsid w:val="00635DA1"/>
    <w:rsid w:val="00637531"/>
    <w:rsid w:val="006408D1"/>
    <w:rsid w:val="00642A29"/>
    <w:rsid w:val="006430E0"/>
    <w:rsid w:val="0064379F"/>
    <w:rsid w:val="0064458F"/>
    <w:rsid w:val="00644A19"/>
    <w:rsid w:val="00646089"/>
    <w:rsid w:val="0064722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3FB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365A"/>
    <w:rsid w:val="00693703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3EF"/>
    <w:rsid w:val="006A68FD"/>
    <w:rsid w:val="006A6A72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DC5"/>
    <w:rsid w:val="006E2FF4"/>
    <w:rsid w:val="006E3022"/>
    <w:rsid w:val="006E3404"/>
    <w:rsid w:val="006E4B2A"/>
    <w:rsid w:val="006E6062"/>
    <w:rsid w:val="006E64F8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5C7B"/>
    <w:rsid w:val="0071662D"/>
    <w:rsid w:val="00716B8D"/>
    <w:rsid w:val="007172CD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1F0"/>
    <w:rsid w:val="007448FD"/>
    <w:rsid w:val="00744AF8"/>
    <w:rsid w:val="00744F90"/>
    <w:rsid w:val="007469C8"/>
    <w:rsid w:val="007516FF"/>
    <w:rsid w:val="007522C1"/>
    <w:rsid w:val="00753773"/>
    <w:rsid w:val="00753CB6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5F5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4DA1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207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A8D"/>
    <w:rsid w:val="007C7F63"/>
    <w:rsid w:val="007D0C3D"/>
    <w:rsid w:val="007D11E9"/>
    <w:rsid w:val="007D1FE7"/>
    <w:rsid w:val="007D2096"/>
    <w:rsid w:val="007D31D3"/>
    <w:rsid w:val="007D4C63"/>
    <w:rsid w:val="007D4EF4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4C12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A1E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721D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6F3"/>
    <w:rsid w:val="00882C88"/>
    <w:rsid w:val="00882F30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B4C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4AD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746F"/>
    <w:rsid w:val="009378A3"/>
    <w:rsid w:val="00940772"/>
    <w:rsid w:val="00941404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CCB"/>
    <w:rsid w:val="00955F4E"/>
    <w:rsid w:val="00956CD7"/>
    <w:rsid w:val="00957B23"/>
    <w:rsid w:val="00957B48"/>
    <w:rsid w:val="0096011D"/>
    <w:rsid w:val="009623FD"/>
    <w:rsid w:val="0096392A"/>
    <w:rsid w:val="009649CD"/>
    <w:rsid w:val="00964CC3"/>
    <w:rsid w:val="0096549B"/>
    <w:rsid w:val="00966E26"/>
    <w:rsid w:val="00967CEF"/>
    <w:rsid w:val="00970975"/>
    <w:rsid w:val="0097289F"/>
    <w:rsid w:val="00972D84"/>
    <w:rsid w:val="00973317"/>
    <w:rsid w:val="0097399E"/>
    <w:rsid w:val="009739AD"/>
    <w:rsid w:val="00975998"/>
    <w:rsid w:val="00976E42"/>
    <w:rsid w:val="00976FD7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97DEB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B6CEF"/>
    <w:rsid w:val="009C00D1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3A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4FED"/>
    <w:rsid w:val="00A1524B"/>
    <w:rsid w:val="00A1557C"/>
    <w:rsid w:val="00A15D27"/>
    <w:rsid w:val="00A15FF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69C4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103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A7D19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675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1E9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DFD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EDB"/>
    <w:rsid w:val="00B03F93"/>
    <w:rsid w:val="00B04390"/>
    <w:rsid w:val="00B04C22"/>
    <w:rsid w:val="00B04F2A"/>
    <w:rsid w:val="00B0657D"/>
    <w:rsid w:val="00B0699F"/>
    <w:rsid w:val="00B07B1B"/>
    <w:rsid w:val="00B07F43"/>
    <w:rsid w:val="00B1156B"/>
    <w:rsid w:val="00B11EC8"/>
    <w:rsid w:val="00B12D92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174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40C2"/>
    <w:rsid w:val="00B54365"/>
    <w:rsid w:val="00B5453E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13D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6C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E3C"/>
    <w:rsid w:val="00BF2CA9"/>
    <w:rsid w:val="00BF2F9B"/>
    <w:rsid w:val="00BF34B3"/>
    <w:rsid w:val="00BF398C"/>
    <w:rsid w:val="00BF3A65"/>
    <w:rsid w:val="00BF3E7D"/>
    <w:rsid w:val="00BF43B0"/>
    <w:rsid w:val="00BF4633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9DA"/>
    <w:rsid w:val="00C32A29"/>
    <w:rsid w:val="00C333D9"/>
    <w:rsid w:val="00C347D5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A64"/>
    <w:rsid w:val="00C81BDF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B46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2ACC"/>
    <w:rsid w:val="00CF3BB0"/>
    <w:rsid w:val="00CF474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2792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4AC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C78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3A5B"/>
    <w:rsid w:val="00DF4FDA"/>
    <w:rsid w:val="00DF65BB"/>
    <w:rsid w:val="00DF7122"/>
    <w:rsid w:val="00DF79D5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3E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4FF8"/>
    <w:rsid w:val="00E85949"/>
    <w:rsid w:val="00E859F7"/>
    <w:rsid w:val="00E869A5"/>
    <w:rsid w:val="00E90680"/>
    <w:rsid w:val="00E9099F"/>
    <w:rsid w:val="00E90C34"/>
    <w:rsid w:val="00E933CF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A41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5B26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3367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0F0"/>
    <w:rsid w:val="00F35709"/>
    <w:rsid w:val="00F35974"/>
    <w:rsid w:val="00F36AA4"/>
    <w:rsid w:val="00F40790"/>
    <w:rsid w:val="00F4084A"/>
    <w:rsid w:val="00F4458B"/>
    <w:rsid w:val="00F45AC2"/>
    <w:rsid w:val="00F45D78"/>
    <w:rsid w:val="00F46128"/>
    <w:rsid w:val="00F47032"/>
    <w:rsid w:val="00F47165"/>
    <w:rsid w:val="00F473E1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66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21D9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860"/>
    <w:rsid w:val="00FB22FB"/>
    <w:rsid w:val="00FB31FB"/>
    <w:rsid w:val="00FB352B"/>
    <w:rsid w:val="00FB35F8"/>
    <w:rsid w:val="00FB36AC"/>
    <w:rsid w:val="00FB4AC2"/>
    <w:rsid w:val="00FB5E9F"/>
    <w:rsid w:val="00FB67F8"/>
    <w:rsid w:val="00FB716C"/>
    <w:rsid w:val="00FC20B0"/>
    <w:rsid w:val="00FC2C9E"/>
    <w:rsid w:val="00FC41F8"/>
    <w:rsid w:val="00FC4493"/>
    <w:rsid w:val="00FC5618"/>
    <w:rsid w:val="00FC6223"/>
    <w:rsid w:val="00FC7D6C"/>
    <w:rsid w:val="00FC7F4E"/>
    <w:rsid w:val="00FD0F22"/>
    <w:rsid w:val="00FD1695"/>
    <w:rsid w:val="00FD2781"/>
    <w:rsid w:val="00FD27CC"/>
    <w:rsid w:val="00FD387A"/>
    <w:rsid w:val="00FD4AD1"/>
    <w:rsid w:val="00FD65AB"/>
    <w:rsid w:val="00FD727D"/>
    <w:rsid w:val="00FD74B8"/>
    <w:rsid w:val="00FD7F9E"/>
    <w:rsid w:val="00FE0157"/>
    <w:rsid w:val="00FE01FD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9C7D37"/>
  <w15:docId w15:val="{522362CE-D7E0-4A73-9C7D-9BB0C42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48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zela.ru/news/novosti/deklaratsionnaya-kampaniya-gosudarstvennykh-sluzhashchikh-instrument-protivodeystviya-korrupts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nzela.ru/news/tema-dnya/v-menzelinske-proshlo-zasedanie-antikorruptsionnoy-komis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E44D-CE03-4B55-BCE8-5D7FDA69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7263</Words>
  <Characters>41402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dc:description/>
  <cp:lastModifiedBy>Баскова</cp:lastModifiedBy>
  <cp:revision>2</cp:revision>
  <cp:lastPrinted>2014-07-16T12:25:00Z</cp:lastPrinted>
  <dcterms:created xsi:type="dcterms:W3CDTF">2022-05-17T11:54:00Z</dcterms:created>
  <dcterms:modified xsi:type="dcterms:W3CDTF">2022-05-17T11:54:00Z</dcterms:modified>
</cp:coreProperties>
</file>